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450CA" w14:textId="77777777" w:rsidR="0083640C" w:rsidRPr="00366CA3" w:rsidRDefault="0083640C" w:rsidP="0083640C">
      <w:pPr>
        <w:rPr>
          <w:rFonts w:ascii="Times New Roman" w:hAnsi="Times New Roman" w:cs="Times New Roman"/>
          <w:b/>
          <w:bCs/>
        </w:rPr>
      </w:pPr>
      <w:r w:rsidRPr="00366CA3">
        <w:rPr>
          <w:rFonts w:ascii="Times New Roman" w:hAnsi="Times New Roman" w:cs="Times New Roman"/>
          <w:b/>
          <w:bCs/>
        </w:rPr>
        <w:t>1. Objective</w:t>
      </w:r>
    </w:p>
    <w:p w14:paraId="6C6C4D0A" w14:textId="77777777" w:rsidR="0083640C" w:rsidRPr="00366CA3" w:rsidRDefault="0083640C" w:rsidP="0083640C">
      <w:pPr>
        <w:rPr>
          <w:rFonts w:ascii="Times New Roman" w:hAnsi="Times New Roman" w:cs="Times New Roman"/>
        </w:rPr>
      </w:pPr>
      <w:r w:rsidRPr="00366CA3">
        <w:rPr>
          <w:rFonts w:ascii="Times New Roman" w:hAnsi="Times New Roman" w:cs="Times New Roman"/>
        </w:rPr>
        <w:t>The objective of the engagement is to independently verify whether the vulnerabilities identified during the previous penetration test have been properly remediated and whether the implemented corrective measures effectively address the originally identified security risks.</w:t>
      </w:r>
    </w:p>
    <w:p w14:paraId="11D47BFC" w14:textId="77777777" w:rsidR="0083640C" w:rsidRPr="00366CA3" w:rsidRDefault="0083640C" w:rsidP="0083640C">
      <w:pPr>
        <w:rPr>
          <w:rFonts w:ascii="Times New Roman" w:hAnsi="Times New Roman" w:cs="Times New Roman"/>
        </w:rPr>
      </w:pPr>
      <w:r w:rsidRPr="00366CA3">
        <w:rPr>
          <w:rFonts w:ascii="Times New Roman" w:hAnsi="Times New Roman" w:cs="Times New Roman"/>
        </w:rPr>
        <w:t>The engagement is limited to the re-testing of previously reported findings. Identification of new vulnerabilities is not included unless explicitly agreed with the Bank.</w:t>
      </w:r>
    </w:p>
    <w:p w14:paraId="4175FEDF" w14:textId="77777777" w:rsidR="0083640C" w:rsidRPr="00366CA3" w:rsidRDefault="0083640C" w:rsidP="0083640C">
      <w:pPr>
        <w:rPr>
          <w:rFonts w:ascii="Times New Roman" w:hAnsi="Times New Roman" w:cs="Times New Roman"/>
          <w:b/>
          <w:bCs/>
        </w:rPr>
      </w:pPr>
      <w:r w:rsidRPr="00366CA3">
        <w:rPr>
          <w:rFonts w:ascii="Times New Roman" w:hAnsi="Times New Roman" w:cs="Times New Roman"/>
          <w:b/>
          <w:bCs/>
        </w:rPr>
        <w:t>2. Systems and Findings in Scope</w:t>
      </w:r>
    </w:p>
    <w:p w14:paraId="66BF88E7" w14:textId="77777777" w:rsidR="0083640C" w:rsidRPr="00366CA3" w:rsidRDefault="0083640C" w:rsidP="0083640C">
      <w:pPr>
        <w:rPr>
          <w:rFonts w:ascii="Times New Roman" w:hAnsi="Times New Roman" w:cs="Times New Roman"/>
        </w:rPr>
      </w:pPr>
      <w:r w:rsidRPr="00366CA3">
        <w:rPr>
          <w:rFonts w:ascii="Times New Roman" w:hAnsi="Times New Roman" w:cs="Times New Roman"/>
        </w:rPr>
        <w:t>The re-check shall cover a total of 23 previously identified findings:</w:t>
      </w:r>
    </w:p>
    <w:p w14:paraId="5CF3E23A" w14:textId="77777777" w:rsidR="0083640C" w:rsidRPr="00366CA3" w:rsidRDefault="0083640C" w:rsidP="0083640C">
      <w:pPr>
        <w:numPr>
          <w:ilvl w:val="0"/>
          <w:numId w:val="1"/>
        </w:numPr>
        <w:rPr>
          <w:rFonts w:ascii="Times New Roman" w:hAnsi="Times New Roman" w:cs="Times New Roman"/>
        </w:rPr>
      </w:pPr>
      <w:r w:rsidRPr="00366CA3">
        <w:rPr>
          <w:rFonts w:ascii="Times New Roman" w:hAnsi="Times New Roman" w:cs="Times New Roman"/>
        </w:rPr>
        <w:t>Mobile Banking – 3 findings;</w:t>
      </w:r>
    </w:p>
    <w:p w14:paraId="133AC2E2" w14:textId="77777777" w:rsidR="0083640C" w:rsidRPr="00366CA3" w:rsidRDefault="0083640C" w:rsidP="0083640C">
      <w:pPr>
        <w:numPr>
          <w:ilvl w:val="0"/>
          <w:numId w:val="1"/>
        </w:numPr>
        <w:rPr>
          <w:rFonts w:ascii="Times New Roman" w:hAnsi="Times New Roman" w:cs="Times New Roman"/>
        </w:rPr>
      </w:pPr>
      <w:r w:rsidRPr="00366CA3">
        <w:rPr>
          <w:rFonts w:ascii="Times New Roman" w:hAnsi="Times New Roman" w:cs="Times New Roman"/>
        </w:rPr>
        <w:t>Open Banking – 3 findings;</w:t>
      </w:r>
    </w:p>
    <w:p w14:paraId="50531C96" w14:textId="77777777" w:rsidR="0083640C" w:rsidRPr="00366CA3" w:rsidRDefault="0083640C" w:rsidP="0083640C">
      <w:pPr>
        <w:numPr>
          <w:ilvl w:val="0"/>
          <w:numId w:val="1"/>
        </w:numPr>
        <w:rPr>
          <w:rFonts w:ascii="Times New Roman" w:hAnsi="Times New Roman" w:cs="Times New Roman"/>
        </w:rPr>
      </w:pPr>
      <w:r w:rsidRPr="00366CA3">
        <w:rPr>
          <w:rFonts w:ascii="Times New Roman" w:hAnsi="Times New Roman" w:cs="Times New Roman"/>
        </w:rPr>
        <w:t>Internet Banking – 11 findings;</w:t>
      </w:r>
    </w:p>
    <w:p w14:paraId="1F7C8115" w14:textId="77777777" w:rsidR="0083640C" w:rsidRPr="00366CA3" w:rsidRDefault="0083640C" w:rsidP="0083640C">
      <w:pPr>
        <w:numPr>
          <w:ilvl w:val="0"/>
          <w:numId w:val="1"/>
        </w:numPr>
        <w:rPr>
          <w:rFonts w:ascii="Times New Roman" w:hAnsi="Times New Roman" w:cs="Times New Roman"/>
        </w:rPr>
      </w:pPr>
      <w:r w:rsidRPr="00366CA3">
        <w:rPr>
          <w:rFonts w:ascii="Times New Roman" w:hAnsi="Times New Roman" w:cs="Times New Roman"/>
        </w:rPr>
        <w:t>Other Web Applications – 6 findings.</w:t>
      </w:r>
    </w:p>
    <w:p w14:paraId="2421BBB5" w14:textId="77777777" w:rsidR="0083640C" w:rsidRPr="00366CA3" w:rsidRDefault="0083640C" w:rsidP="0083640C">
      <w:pPr>
        <w:rPr>
          <w:rFonts w:ascii="Times New Roman" w:hAnsi="Times New Roman" w:cs="Times New Roman"/>
        </w:rPr>
      </w:pPr>
    </w:p>
    <w:p w14:paraId="36D9E621" w14:textId="77777777" w:rsidR="0083640C" w:rsidRPr="00366CA3" w:rsidRDefault="0083640C" w:rsidP="0083640C">
      <w:pPr>
        <w:rPr>
          <w:rFonts w:ascii="Times New Roman" w:hAnsi="Times New Roman" w:cs="Times New Roman"/>
        </w:rPr>
      </w:pPr>
      <w:r w:rsidRPr="00366CA3">
        <w:rPr>
          <w:rFonts w:ascii="Times New Roman" w:hAnsi="Times New Roman" w:cs="Times New Roman"/>
        </w:rPr>
        <w:t>The detailed list of findings, including affected components, vulnerability descriptions, risk ratings, technical evidence and remediation information, contains confidential security information.</w:t>
      </w:r>
    </w:p>
    <w:p w14:paraId="605E4057" w14:textId="77777777" w:rsidR="0083640C" w:rsidRPr="00366CA3" w:rsidRDefault="0083640C" w:rsidP="0083640C">
      <w:pPr>
        <w:rPr>
          <w:rFonts w:ascii="Times New Roman" w:hAnsi="Times New Roman" w:cs="Times New Roman"/>
        </w:rPr>
      </w:pPr>
      <w:r w:rsidRPr="00366CA3">
        <w:rPr>
          <w:rFonts w:ascii="Times New Roman" w:hAnsi="Times New Roman" w:cs="Times New Roman"/>
        </w:rPr>
        <w:t>This information will be provided to shortlisted bidders after signing a Non-Disclosure Agreement and before submission or confirmation of the final technical and commercial proposal.</w:t>
      </w:r>
    </w:p>
    <w:p w14:paraId="52167783" w14:textId="77777777" w:rsidR="0083640C" w:rsidRPr="00366CA3" w:rsidRDefault="0083640C" w:rsidP="0083640C">
      <w:pPr>
        <w:rPr>
          <w:rFonts w:ascii="Times New Roman" w:hAnsi="Times New Roman" w:cs="Times New Roman"/>
        </w:rPr>
      </w:pPr>
    </w:p>
    <w:p w14:paraId="3393783F" w14:textId="77777777" w:rsidR="0083640C" w:rsidRPr="00366CA3" w:rsidRDefault="0083640C" w:rsidP="0083640C">
      <w:pPr>
        <w:rPr>
          <w:rFonts w:ascii="Times New Roman" w:hAnsi="Times New Roman" w:cs="Times New Roman"/>
          <w:b/>
          <w:bCs/>
        </w:rPr>
      </w:pPr>
      <w:r w:rsidRPr="00366CA3">
        <w:rPr>
          <w:rFonts w:ascii="Times New Roman" w:hAnsi="Times New Roman" w:cs="Times New Roman"/>
          <w:b/>
          <w:bCs/>
        </w:rPr>
        <w:t>3. Re-Check Requirements</w:t>
      </w:r>
    </w:p>
    <w:p w14:paraId="3B78DC48" w14:textId="77777777" w:rsidR="0083640C" w:rsidRPr="00366CA3" w:rsidRDefault="0083640C" w:rsidP="0083640C">
      <w:pPr>
        <w:rPr>
          <w:rFonts w:ascii="Times New Roman" w:hAnsi="Times New Roman" w:cs="Times New Roman"/>
        </w:rPr>
      </w:pPr>
      <w:r w:rsidRPr="00366CA3">
        <w:rPr>
          <w:rFonts w:ascii="Times New Roman" w:hAnsi="Times New Roman" w:cs="Times New Roman"/>
        </w:rPr>
        <w:t>For each finding, the selected service provider shall:</w:t>
      </w:r>
    </w:p>
    <w:p w14:paraId="26A7965E" w14:textId="77777777" w:rsidR="0083640C" w:rsidRPr="00366CA3" w:rsidRDefault="0083640C" w:rsidP="0083640C">
      <w:pPr>
        <w:numPr>
          <w:ilvl w:val="0"/>
          <w:numId w:val="2"/>
        </w:numPr>
        <w:rPr>
          <w:rFonts w:ascii="Times New Roman" w:hAnsi="Times New Roman" w:cs="Times New Roman"/>
        </w:rPr>
      </w:pPr>
      <w:r w:rsidRPr="00366CA3">
        <w:rPr>
          <w:rFonts w:ascii="Times New Roman" w:hAnsi="Times New Roman" w:cs="Times New Roman"/>
        </w:rPr>
        <w:t>reproduce the original vulnerability where safely possible;</w:t>
      </w:r>
    </w:p>
    <w:p w14:paraId="06405052" w14:textId="77777777" w:rsidR="0083640C" w:rsidRPr="00366CA3" w:rsidRDefault="0083640C" w:rsidP="0083640C">
      <w:pPr>
        <w:numPr>
          <w:ilvl w:val="0"/>
          <w:numId w:val="2"/>
        </w:numPr>
        <w:rPr>
          <w:rFonts w:ascii="Times New Roman" w:hAnsi="Times New Roman" w:cs="Times New Roman"/>
        </w:rPr>
      </w:pPr>
      <w:r w:rsidRPr="00366CA3">
        <w:rPr>
          <w:rFonts w:ascii="Times New Roman" w:hAnsi="Times New Roman" w:cs="Times New Roman"/>
        </w:rPr>
        <w:t>verify whether the implemented remediation fully addresses the original vulnerability;</w:t>
      </w:r>
    </w:p>
    <w:p w14:paraId="6C5607CB" w14:textId="77777777" w:rsidR="0083640C" w:rsidRPr="00366CA3" w:rsidRDefault="0083640C" w:rsidP="0083640C">
      <w:pPr>
        <w:numPr>
          <w:ilvl w:val="0"/>
          <w:numId w:val="2"/>
        </w:numPr>
        <w:rPr>
          <w:rFonts w:ascii="Times New Roman" w:hAnsi="Times New Roman" w:cs="Times New Roman"/>
        </w:rPr>
      </w:pPr>
      <w:r w:rsidRPr="00366CA3">
        <w:rPr>
          <w:rFonts w:ascii="Times New Roman" w:hAnsi="Times New Roman" w:cs="Times New Roman"/>
        </w:rPr>
        <w:t xml:space="preserve">confirm that </w:t>
      </w:r>
      <w:proofErr w:type="gramStart"/>
      <w:r w:rsidRPr="00366CA3">
        <w:rPr>
          <w:rFonts w:ascii="Times New Roman" w:hAnsi="Times New Roman" w:cs="Times New Roman"/>
        </w:rPr>
        <w:t>the vulnerability</w:t>
      </w:r>
      <w:proofErr w:type="gramEnd"/>
      <w:r w:rsidRPr="00366CA3">
        <w:rPr>
          <w:rFonts w:ascii="Times New Roman" w:hAnsi="Times New Roman" w:cs="Times New Roman"/>
        </w:rPr>
        <w:t xml:space="preserve"> can no longer be exploited using the original attack </w:t>
      </w:r>
      <w:proofErr w:type="gramStart"/>
      <w:r w:rsidRPr="00366CA3">
        <w:rPr>
          <w:rFonts w:ascii="Times New Roman" w:hAnsi="Times New Roman" w:cs="Times New Roman"/>
        </w:rPr>
        <w:t>scenario;</w:t>
      </w:r>
      <w:proofErr w:type="gramEnd"/>
    </w:p>
    <w:p w14:paraId="3B75E4D1" w14:textId="77777777" w:rsidR="0083640C" w:rsidRPr="00366CA3" w:rsidRDefault="0083640C" w:rsidP="0083640C">
      <w:pPr>
        <w:numPr>
          <w:ilvl w:val="0"/>
          <w:numId w:val="2"/>
        </w:numPr>
        <w:rPr>
          <w:rFonts w:ascii="Times New Roman" w:hAnsi="Times New Roman" w:cs="Times New Roman"/>
        </w:rPr>
      </w:pPr>
      <w:r w:rsidRPr="00366CA3">
        <w:rPr>
          <w:rFonts w:ascii="Times New Roman" w:hAnsi="Times New Roman" w:cs="Times New Roman"/>
        </w:rPr>
        <w:t>assess whether the remediation can be bypassed using reasonable variations of the original attack;</w:t>
      </w:r>
    </w:p>
    <w:p w14:paraId="34D7F952" w14:textId="77777777" w:rsidR="0083640C" w:rsidRPr="00366CA3" w:rsidRDefault="0083640C" w:rsidP="0083640C">
      <w:pPr>
        <w:numPr>
          <w:ilvl w:val="0"/>
          <w:numId w:val="2"/>
        </w:numPr>
        <w:rPr>
          <w:rFonts w:ascii="Times New Roman" w:hAnsi="Times New Roman" w:cs="Times New Roman"/>
        </w:rPr>
      </w:pPr>
      <w:r w:rsidRPr="00366CA3">
        <w:rPr>
          <w:rFonts w:ascii="Times New Roman" w:hAnsi="Times New Roman" w:cs="Times New Roman"/>
        </w:rPr>
        <w:t>verify that the remediation has not introduced an equivalent vulnerability in the affected functionality;</w:t>
      </w:r>
    </w:p>
    <w:p w14:paraId="5C849EFF" w14:textId="77777777" w:rsidR="0083640C" w:rsidRPr="00366CA3" w:rsidRDefault="0083640C" w:rsidP="0083640C">
      <w:pPr>
        <w:numPr>
          <w:ilvl w:val="0"/>
          <w:numId w:val="2"/>
        </w:numPr>
        <w:rPr>
          <w:rFonts w:ascii="Times New Roman" w:hAnsi="Times New Roman" w:cs="Times New Roman"/>
        </w:rPr>
      </w:pPr>
      <w:r w:rsidRPr="00366CA3">
        <w:rPr>
          <w:rFonts w:ascii="Times New Roman" w:hAnsi="Times New Roman" w:cs="Times New Roman"/>
        </w:rPr>
        <w:t>review the relevant security configuration where necessary;</w:t>
      </w:r>
    </w:p>
    <w:p w14:paraId="66D47F2A" w14:textId="77777777" w:rsidR="0083640C" w:rsidRPr="00366CA3" w:rsidRDefault="0083640C" w:rsidP="0083640C">
      <w:pPr>
        <w:numPr>
          <w:ilvl w:val="0"/>
          <w:numId w:val="2"/>
        </w:numPr>
        <w:rPr>
          <w:rFonts w:ascii="Times New Roman" w:hAnsi="Times New Roman" w:cs="Times New Roman"/>
        </w:rPr>
      </w:pPr>
      <w:r w:rsidRPr="00366CA3">
        <w:rPr>
          <w:rFonts w:ascii="Times New Roman" w:hAnsi="Times New Roman" w:cs="Times New Roman"/>
        </w:rPr>
        <w:t xml:space="preserve">retain sufficient technical evidence to support </w:t>
      </w:r>
      <w:proofErr w:type="gramStart"/>
      <w:r w:rsidRPr="00366CA3">
        <w:rPr>
          <w:rFonts w:ascii="Times New Roman" w:hAnsi="Times New Roman" w:cs="Times New Roman"/>
        </w:rPr>
        <w:t>the final conclusion</w:t>
      </w:r>
      <w:proofErr w:type="gramEnd"/>
      <w:r w:rsidRPr="00366CA3">
        <w:rPr>
          <w:rFonts w:ascii="Times New Roman" w:hAnsi="Times New Roman" w:cs="Times New Roman"/>
        </w:rPr>
        <w:t>.</w:t>
      </w:r>
    </w:p>
    <w:p w14:paraId="2E0DD03A" w14:textId="77777777" w:rsidR="0083640C" w:rsidRPr="00366CA3" w:rsidRDefault="0083640C" w:rsidP="0083640C">
      <w:pPr>
        <w:rPr>
          <w:rFonts w:ascii="Times New Roman" w:hAnsi="Times New Roman" w:cs="Times New Roman"/>
        </w:rPr>
      </w:pPr>
    </w:p>
    <w:p w14:paraId="4E09E2E9" w14:textId="77777777" w:rsidR="0083640C" w:rsidRPr="00366CA3" w:rsidRDefault="0083640C" w:rsidP="0083640C">
      <w:pPr>
        <w:rPr>
          <w:rFonts w:ascii="Times New Roman" w:hAnsi="Times New Roman" w:cs="Times New Roman"/>
        </w:rPr>
      </w:pPr>
      <w:r w:rsidRPr="00366CA3">
        <w:rPr>
          <w:rFonts w:ascii="Times New Roman" w:hAnsi="Times New Roman" w:cs="Times New Roman"/>
        </w:rPr>
        <w:t xml:space="preserve">The service provider </w:t>
      </w:r>
      <w:proofErr w:type="gramStart"/>
      <w:r w:rsidRPr="00366CA3">
        <w:rPr>
          <w:rFonts w:ascii="Times New Roman" w:hAnsi="Times New Roman" w:cs="Times New Roman"/>
        </w:rPr>
        <w:t>shall</w:t>
      </w:r>
      <w:proofErr w:type="gramEnd"/>
      <w:r w:rsidRPr="00366CA3">
        <w:rPr>
          <w:rFonts w:ascii="Times New Roman" w:hAnsi="Times New Roman" w:cs="Times New Roman"/>
        </w:rPr>
        <w:t xml:space="preserve"> not classify a finding as remediated based solely on information or screenshots provided by the Bank. Each finding must be independently validated through appropriate technical testing.</w:t>
      </w:r>
    </w:p>
    <w:p w14:paraId="6C52D21E" w14:textId="0868E1B3" w:rsidR="0083640C" w:rsidRPr="00366CA3" w:rsidRDefault="0083640C" w:rsidP="0083640C">
      <w:pPr>
        <w:rPr>
          <w:rFonts w:ascii="Times New Roman" w:hAnsi="Times New Roman" w:cs="Times New Roman"/>
        </w:rPr>
      </w:pPr>
      <w:r w:rsidRPr="00366CA3">
        <w:rPr>
          <w:rFonts w:ascii="Times New Roman" w:hAnsi="Times New Roman" w:cs="Times New Roman"/>
        </w:rPr>
        <w:t xml:space="preserve">Testing activities must not cause service interruption, data corruption, unauthorized modification of production information or degradation of system performance. </w:t>
      </w:r>
    </w:p>
    <w:p w14:paraId="59957E19" w14:textId="77777777" w:rsidR="00E20BD4" w:rsidRPr="00366CA3" w:rsidRDefault="00E20BD4">
      <w:pPr>
        <w:rPr>
          <w:rFonts w:ascii="Times New Roman" w:hAnsi="Times New Roman" w:cs="Times New Roman"/>
        </w:rPr>
      </w:pPr>
    </w:p>
    <w:p w14:paraId="60B566E7" w14:textId="7E6778F7" w:rsidR="0083640C" w:rsidRPr="00366CA3" w:rsidRDefault="0083640C" w:rsidP="0083640C">
      <w:pPr>
        <w:rPr>
          <w:rFonts w:ascii="Times New Roman" w:hAnsi="Times New Roman" w:cs="Times New Roman"/>
          <w:b/>
          <w:bCs/>
        </w:rPr>
      </w:pPr>
      <w:r w:rsidRPr="00366CA3">
        <w:rPr>
          <w:rFonts w:ascii="Times New Roman" w:hAnsi="Times New Roman" w:cs="Times New Roman"/>
          <w:b/>
          <w:bCs/>
        </w:rPr>
        <w:t>4. Testing Access and Prerequisites</w:t>
      </w:r>
    </w:p>
    <w:p w14:paraId="2A39950B" w14:textId="77777777" w:rsidR="0083640C" w:rsidRPr="00366CA3" w:rsidRDefault="0083640C" w:rsidP="0083640C">
      <w:pPr>
        <w:rPr>
          <w:rFonts w:ascii="Times New Roman" w:hAnsi="Times New Roman" w:cs="Times New Roman"/>
        </w:rPr>
      </w:pPr>
      <w:r w:rsidRPr="00366CA3">
        <w:rPr>
          <w:rFonts w:ascii="Times New Roman" w:hAnsi="Times New Roman" w:cs="Times New Roman"/>
        </w:rPr>
        <w:t>The Bank will provide, as applicable:</w:t>
      </w:r>
    </w:p>
    <w:p w14:paraId="7E179AC3" w14:textId="77777777" w:rsidR="0083640C" w:rsidRPr="00366CA3" w:rsidRDefault="0083640C" w:rsidP="0083640C">
      <w:pPr>
        <w:numPr>
          <w:ilvl w:val="0"/>
          <w:numId w:val="3"/>
        </w:numPr>
        <w:rPr>
          <w:rFonts w:ascii="Times New Roman" w:hAnsi="Times New Roman" w:cs="Times New Roman"/>
        </w:rPr>
      </w:pPr>
      <w:r w:rsidRPr="00366CA3">
        <w:rPr>
          <w:rFonts w:ascii="Times New Roman" w:hAnsi="Times New Roman" w:cs="Times New Roman"/>
        </w:rPr>
        <w:t>the previous penetration test report;</w:t>
      </w:r>
    </w:p>
    <w:p w14:paraId="6A992DE3" w14:textId="77777777" w:rsidR="0083640C" w:rsidRPr="00366CA3" w:rsidRDefault="0083640C" w:rsidP="0083640C">
      <w:pPr>
        <w:numPr>
          <w:ilvl w:val="0"/>
          <w:numId w:val="3"/>
        </w:numPr>
        <w:rPr>
          <w:rFonts w:ascii="Times New Roman" w:hAnsi="Times New Roman" w:cs="Times New Roman"/>
        </w:rPr>
      </w:pPr>
      <w:r w:rsidRPr="00366CA3">
        <w:rPr>
          <w:rFonts w:ascii="Times New Roman" w:hAnsi="Times New Roman" w:cs="Times New Roman"/>
        </w:rPr>
        <w:t>the list and identifiers of findings to be re-tested;</w:t>
      </w:r>
    </w:p>
    <w:p w14:paraId="14EAAE5F" w14:textId="77E13866" w:rsidR="0083640C" w:rsidRPr="00366CA3" w:rsidRDefault="0083640C" w:rsidP="0083640C">
      <w:pPr>
        <w:numPr>
          <w:ilvl w:val="0"/>
          <w:numId w:val="3"/>
        </w:numPr>
        <w:rPr>
          <w:rFonts w:ascii="Times New Roman" w:hAnsi="Times New Roman" w:cs="Times New Roman"/>
        </w:rPr>
      </w:pPr>
      <w:r w:rsidRPr="00366CA3">
        <w:rPr>
          <w:rFonts w:ascii="Times New Roman" w:hAnsi="Times New Roman" w:cs="Times New Roman"/>
        </w:rPr>
        <w:t>relevant URLs, IP addresses and API endpoints;</w:t>
      </w:r>
    </w:p>
    <w:p w14:paraId="3FE9459C" w14:textId="77777777" w:rsidR="0083640C" w:rsidRPr="00366CA3" w:rsidRDefault="0083640C">
      <w:pPr>
        <w:rPr>
          <w:rFonts w:ascii="Times New Roman" w:hAnsi="Times New Roman" w:cs="Times New Roman"/>
        </w:rPr>
      </w:pPr>
    </w:p>
    <w:sectPr w:rsidR="0083640C" w:rsidRPr="00366CA3">
      <w:headerReference w:type="even" r:id="rId7"/>
      <w:headerReference w:type="default" r:id="rId8"/>
      <w:head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35E03" w14:textId="77777777" w:rsidR="00114CE8" w:rsidRDefault="00114CE8" w:rsidP="0083640C">
      <w:pPr>
        <w:spacing w:after="0" w:line="240" w:lineRule="auto"/>
      </w:pPr>
      <w:r>
        <w:separator/>
      </w:r>
    </w:p>
  </w:endnote>
  <w:endnote w:type="continuationSeparator" w:id="0">
    <w:p w14:paraId="5F0CF7D5" w14:textId="77777777" w:rsidR="00114CE8" w:rsidRDefault="00114CE8" w:rsidP="00836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9B576" w14:textId="77777777" w:rsidR="00114CE8" w:rsidRDefault="00114CE8" w:rsidP="0083640C">
      <w:pPr>
        <w:spacing w:after="0" w:line="240" w:lineRule="auto"/>
      </w:pPr>
      <w:r>
        <w:separator/>
      </w:r>
    </w:p>
  </w:footnote>
  <w:footnote w:type="continuationSeparator" w:id="0">
    <w:p w14:paraId="3DA9977A" w14:textId="77777777" w:rsidR="00114CE8" w:rsidRDefault="00114CE8" w:rsidP="008364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D2095" w14:textId="405A1383" w:rsidR="0083640C" w:rsidRDefault="0083640C">
    <w:pPr>
      <w:pStyle w:val="Header"/>
    </w:pPr>
    <w:r>
      <w:rPr>
        <w:noProof/>
      </w:rPr>
      <mc:AlternateContent>
        <mc:Choice Requires="wps">
          <w:drawing>
            <wp:anchor distT="0" distB="0" distL="0" distR="0" simplePos="0" relativeHeight="251659264" behindDoc="0" locked="0" layoutInCell="1" allowOverlap="1" wp14:anchorId="5AAB5DC8" wp14:editId="5EC8358E">
              <wp:simplePos x="635" y="635"/>
              <wp:positionH relativeFrom="page">
                <wp:align>center</wp:align>
              </wp:positionH>
              <wp:positionV relativeFrom="page">
                <wp:align>top</wp:align>
              </wp:positionV>
              <wp:extent cx="2000250" cy="370205"/>
              <wp:effectExtent l="0" t="0" r="0" b="10795"/>
              <wp:wrapNone/>
              <wp:docPr id="1607691066" name="Text Box 2" descr="Classification: Restricted to Partners">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0250" cy="370205"/>
                      </a:xfrm>
                      <a:prstGeom prst="rect">
                        <a:avLst/>
                      </a:prstGeom>
                      <a:noFill/>
                      <a:ln>
                        <a:noFill/>
                      </a:ln>
                    </wps:spPr>
                    <wps:txbx>
                      <w:txbxContent>
                        <w:p w14:paraId="7C9AAB40" w14:textId="54A8A392" w:rsidR="0083640C" w:rsidRPr="0083640C" w:rsidRDefault="0083640C" w:rsidP="0083640C">
                          <w:pPr>
                            <w:spacing w:after="0"/>
                            <w:rPr>
                              <w:rFonts w:ascii="Aptos" w:eastAsia="Aptos" w:hAnsi="Aptos" w:cs="Aptos"/>
                              <w:noProof/>
                              <w:color w:val="0078D7"/>
                              <w:sz w:val="20"/>
                              <w:szCs w:val="20"/>
                            </w:rPr>
                          </w:pPr>
                          <w:r w:rsidRPr="0083640C">
                            <w:rPr>
                              <w:rFonts w:ascii="Aptos" w:eastAsia="Aptos" w:hAnsi="Aptos" w:cs="Aptos"/>
                              <w:noProof/>
                              <w:color w:val="0078D7"/>
                              <w:sz w:val="20"/>
                              <w:szCs w:val="20"/>
                            </w:rPr>
                            <w:t>Classification: Restricted to Partners</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cei="http://schemas.microsoft.com/office/word/2026/wordml/cei">
          <w:pict>
            <v:shapetype w14:anchorId="5AAB5DC8" id="_x0000_t202" coordsize="21600,21600" o:spt="202" path="m,l,21600r21600,l21600,xe">
              <v:stroke joinstyle="miter"/>
              <v:path gradientshapeok="t" o:connecttype="rect"/>
            </v:shapetype>
            <v:shape id="Text Box 2" o:spid="_x0000_s1026" type="#_x0000_t202" alt="Classification: Restricted to Partners" style="position:absolute;margin-left:0;margin-top:0;width:157.5pt;height:29.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" filled="f" stroked="f">
              <v:fill o:detectmouseclick="t"/>
              <v:textbox style="mso-fit-shape-to-text:t" inset="0,15pt,0,0">
                <w:txbxContent>
                  <w:p w14:paraId="7C9AAB40" w14:textId="54A8A392" w:rsidR="0083640C" w:rsidRPr="0083640C" w:rsidRDefault="0083640C" w:rsidP="0083640C">
                    <w:pPr>
                      <w:spacing w:after="0"/>
                      <w:rPr>
                        <w:rFonts w:ascii="Aptos" w:eastAsia="Aptos" w:hAnsi="Aptos" w:cs="Aptos"/>
                        <w:noProof/>
                        <w:color w:val="0078D7"/>
                        <w:sz w:val="20"/>
                        <w:szCs w:val="20"/>
                      </w:rPr>
                    </w:pPr>
                    <w:r w:rsidRPr="0083640C">
                      <w:rPr>
                        <w:rFonts w:ascii="Aptos" w:eastAsia="Aptos" w:hAnsi="Aptos" w:cs="Aptos"/>
                        <w:noProof/>
                        <w:color w:val="0078D7"/>
                        <w:sz w:val="20"/>
                        <w:szCs w:val="20"/>
                      </w:rPr>
                      <w:t>Classification: Restricted to Partners</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36237" w14:textId="5008DB3F" w:rsidR="0083640C" w:rsidRDefault="0083640C">
    <w:pPr>
      <w:pStyle w:val="Header"/>
    </w:pPr>
    <w:r>
      <w:rPr>
        <w:noProof/>
      </w:rPr>
      <mc:AlternateContent>
        <mc:Choice Requires="wps">
          <w:drawing>
            <wp:anchor distT="0" distB="0" distL="0" distR="0" simplePos="0" relativeHeight="251660288" behindDoc="0" locked="0" layoutInCell="1" allowOverlap="1" wp14:anchorId="7ECFE94F" wp14:editId="75BD9333">
              <wp:simplePos x="914400" y="447675"/>
              <wp:positionH relativeFrom="page">
                <wp:align>center</wp:align>
              </wp:positionH>
              <wp:positionV relativeFrom="page">
                <wp:align>top</wp:align>
              </wp:positionV>
              <wp:extent cx="2000250" cy="370205"/>
              <wp:effectExtent l="0" t="0" r="0" b="10795"/>
              <wp:wrapNone/>
              <wp:docPr id="749329470" name="Text Box 3" descr="Classification: Restricted to Partners">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0250" cy="370205"/>
                      </a:xfrm>
                      <a:prstGeom prst="rect">
                        <a:avLst/>
                      </a:prstGeom>
                      <a:noFill/>
                      <a:ln>
                        <a:noFill/>
                      </a:ln>
                    </wps:spPr>
                    <wps:txbx>
                      <w:txbxContent>
                        <w:p w14:paraId="0CAAB627" w14:textId="0C1AB616" w:rsidR="0083640C" w:rsidRPr="0083640C" w:rsidRDefault="0083640C" w:rsidP="0083640C">
                          <w:pPr>
                            <w:spacing w:after="0"/>
                            <w:rPr>
                              <w:rFonts w:ascii="Aptos" w:eastAsia="Aptos" w:hAnsi="Aptos" w:cs="Aptos"/>
                              <w:noProof/>
                              <w:color w:val="0078D7"/>
                              <w:sz w:val="20"/>
                              <w:szCs w:val="20"/>
                            </w:rPr>
                          </w:pPr>
                          <w:r w:rsidRPr="0083640C">
                            <w:rPr>
                              <w:rFonts w:ascii="Aptos" w:eastAsia="Aptos" w:hAnsi="Aptos" w:cs="Aptos"/>
                              <w:noProof/>
                              <w:color w:val="0078D7"/>
                              <w:sz w:val="20"/>
                              <w:szCs w:val="20"/>
                            </w:rPr>
                            <w:t>Classification: Restricted to Partners</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cei="http://schemas.microsoft.com/office/word/2026/wordml/cei">
          <w:pict>
            <v:shapetype w14:anchorId="7ECFE94F" id="_x0000_t202" coordsize="21600,21600" o:spt="202" path="m,l,21600r21600,l21600,xe">
              <v:stroke joinstyle="miter"/>
              <v:path gradientshapeok="t" o:connecttype="rect"/>
            </v:shapetype>
            <v:shape id="Text Box 3" o:spid="_x0000_s1027" type="#_x0000_t202" alt="Classification: Restricted to Partners" style="position:absolute;margin-left:0;margin-top:0;width:157.5pt;height:29.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" filled="f" stroked="f">
              <v:fill o:detectmouseclick="t"/>
              <v:textbox style="mso-fit-shape-to-text:t" inset="0,15pt,0,0">
                <w:txbxContent>
                  <w:p w14:paraId="0CAAB627" w14:textId="0C1AB616" w:rsidR="0083640C" w:rsidRPr="0083640C" w:rsidRDefault="0083640C" w:rsidP="0083640C">
                    <w:pPr>
                      <w:spacing w:after="0"/>
                      <w:rPr>
                        <w:rFonts w:ascii="Aptos" w:eastAsia="Aptos" w:hAnsi="Aptos" w:cs="Aptos"/>
                        <w:noProof/>
                        <w:color w:val="0078D7"/>
                        <w:sz w:val="20"/>
                        <w:szCs w:val="20"/>
                      </w:rPr>
                    </w:pPr>
                    <w:r w:rsidRPr="0083640C">
                      <w:rPr>
                        <w:rFonts w:ascii="Aptos" w:eastAsia="Aptos" w:hAnsi="Aptos" w:cs="Aptos"/>
                        <w:noProof/>
                        <w:color w:val="0078D7"/>
                        <w:sz w:val="20"/>
                        <w:szCs w:val="20"/>
                      </w:rPr>
                      <w:t>Classification: Restricted to Partners</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0E5A6" w14:textId="151D7340" w:rsidR="0083640C" w:rsidRDefault="0083640C">
    <w:pPr>
      <w:pStyle w:val="Header"/>
    </w:pPr>
    <w:r>
      <w:rPr>
        <w:noProof/>
      </w:rPr>
      <mc:AlternateContent>
        <mc:Choice Requires="wps">
          <w:drawing>
            <wp:anchor distT="0" distB="0" distL="0" distR="0" simplePos="0" relativeHeight="251658240" behindDoc="0" locked="0" layoutInCell="1" allowOverlap="1" wp14:anchorId="25DB1147" wp14:editId="2EF34AFF">
              <wp:simplePos x="635" y="635"/>
              <wp:positionH relativeFrom="page">
                <wp:align>center</wp:align>
              </wp:positionH>
              <wp:positionV relativeFrom="page">
                <wp:align>top</wp:align>
              </wp:positionV>
              <wp:extent cx="2000250" cy="370205"/>
              <wp:effectExtent l="0" t="0" r="0" b="10795"/>
              <wp:wrapNone/>
              <wp:docPr id="764754830" name="Text Box 1" descr="Classification: Restricted to Partners">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0250" cy="370205"/>
                      </a:xfrm>
                      <a:prstGeom prst="rect">
                        <a:avLst/>
                      </a:prstGeom>
                      <a:noFill/>
                      <a:ln>
                        <a:noFill/>
                      </a:ln>
                    </wps:spPr>
                    <wps:txbx>
                      <w:txbxContent>
                        <w:p w14:paraId="79D20303" w14:textId="08CA9157" w:rsidR="0083640C" w:rsidRPr="0083640C" w:rsidRDefault="0083640C" w:rsidP="0083640C">
                          <w:pPr>
                            <w:spacing w:after="0"/>
                            <w:rPr>
                              <w:rFonts w:ascii="Aptos" w:eastAsia="Aptos" w:hAnsi="Aptos" w:cs="Aptos"/>
                              <w:noProof/>
                              <w:color w:val="0078D7"/>
                              <w:sz w:val="20"/>
                              <w:szCs w:val="20"/>
                            </w:rPr>
                          </w:pPr>
                          <w:r w:rsidRPr="0083640C">
                            <w:rPr>
                              <w:rFonts w:ascii="Aptos" w:eastAsia="Aptos" w:hAnsi="Aptos" w:cs="Aptos"/>
                              <w:noProof/>
                              <w:color w:val="0078D7"/>
                              <w:sz w:val="20"/>
                              <w:szCs w:val="20"/>
                            </w:rPr>
                            <w:t>Classification: Restricted to Partners</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cei="http://schemas.microsoft.com/office/word/2026/wordml/cei">
          <w:pict>
            <v:shapetype w14:anchorId="25DB1147" id="_x0000_t202" coordsize="21600,21600" o:spt="202" path="m,l,21600r21600,l21600,xe">
              <v:stroke joinstyle="miter"/>
              <v:path gradientshapeok="t" o:connecttype="rect"/>
            </v:shapetype>
            <v:shape id="Text Box 1" o:spid="_x0000_s1028" type="#_x0000_t202" alt="Classification: Restricted to Partners" style="position:absolute;margin-left:0;margin-top:0;width:157.5pt;height:29.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" filled="f" stroked="f">
              <v:fill o:detectmouseclick="t"/>
              <v:textbox style="mso-fit-shape-to-text:t" inset="0,15pt,0,0">
                <w:txbxContent>
                  <w:p w14:paraId="79D20303" w14:textId="08CA9157" w:rsidR="0083640C" w:rsidRPr="0083640C" w:rsidRDefault="0083640C" w:rsidP="0083640C">
                    <w:pPr>
                      <w:spacing w:after="0"/>
                      <w:rPr>
                        <w:rFonts w:ascii="Aptos" w:eastAsia="Aptos" w:hAnsi="Aptos" w:cs="Aptos"/>
                        <w:noProof/>
                        <w:color w:val="0078D7"/>
                        <w:sz w:val="20"/>
                        <w:szCs w:val="20"/>
                      </w:rPr>
                    </w:pPr>
                    <w:r w:rsidRPr="0083640C">
                      <w:rPr>
                        <w:rFonts w:ascii="Aptos" w:eastAsia="Aptos" w:hAnsi="Aptos" w:cs="Aptos"/>
                        <w:noProof/>
                        <w:color w:val="0078D7"/>
                        <w:sz w:val="20"/>
                        <w:szCs w:val="20"/>
                      </w:rPr>
                      <w:t>Classification: Restricted to Partners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13FE0"/>
    <w:multiLevelType w:val="multilevel"/>
    <w:tmpl w:val="5080D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7753DB"/>
    <w:multiLevelType w:val="multilevel"/>
    <w:tmpl w:val="68642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6B3644"/>
    <w:multiLevelType w:val="multilevel"/>
    <w:tmpl w:val="059EE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10842834">
    <w:abstractNumId w:val="1"/>
  </w:num>
  <w:num w:numId="2" w16cid:durableId="895625942">
    <w:abstractNumId w:val="2"/>
  </w:num>
  <w:num w:numId="3" w16cid:durableId="15790946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D38"/>
    <w:rsid w:val="00114CE8"/>
    <w:rsid w:val="00366CA3"/>
    <w:rsid w:val="00446D38"/>
    <w:rsid w:val="005565B9"/>
    <w:rsid w:val="0083640C"/>
    <w:rsid w:val="00CE1861"/>
    <w:rsid w:val="00E20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0C949"/>
  <w15:chartTrackingRefBased/>
  <w15:docId w15:val="{1D7B61A2-DD51-4331-B823-70DC57A4B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46D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46D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46D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46D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46D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46D3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6D3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6D3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6D3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6D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46D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46D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46D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46D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46D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6D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6D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6D38"/>
    <w:rPr>
      <w:rFonts w:eastAsiaTheme="majorEastAsia" w:cstheme="majorBidi"/>
      <w:color w:val="272727" w:themeColor="text1" w:themeTint="D8"/>
    </w:rPr>
  </w:style>
  <w:style w:type="paragraph" w:styleId="Title">
    <w:name w:val="Title"/>
    <w:basedOn w:val="Normal"/>
    <w:next w:val="Normal"/>
    <w:link w:val="TitleChar"/>
    <w:uiPriority w:val="10"/>
    <w:qFormat/>
    <w:rsid w:val="00446D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46D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46D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46D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46D38"/>
    <w:pPr>
      <w:spacing w:before="160"/>
      <w:jc w:val="center"/>
    </w:pPr>
    <w:rPr>
      <w:i/>
      <w:iCs/>
      <w:color w:val="404040" w:themeColor="text1" w:themeTint="BF"/>
    </w:rPr>
  </w:style>
  <w:style w:type="character" w:customStyle="1" w:styleId="QuoteChar">
    <w:name w:val="Quote Char"/>
    <w:basedOn w:val="DefaultParagraphFont"/>
    <w:link w:val="Quote"/>
    <w:uiPriority w:val="29"/>
    <w:rsid w:val="00446D38"/>
    <w:rPr>
      <w:i/>
      <w:iCs/>
      <w:color w:val="404040" w:themeColor="text1" w:themeTint="BF"/>
    </w:rPr>
  </w:style>
  <w:style w:type="paragraph" w:styleId="ListParagraph">
    <w:name w:val="List Paragraph"/>
    <w:basedOn w:val="Normal"/>
    <w:uiPriority w:val="34"/>
    <w:qFormat/>
    <w:rsid w:val="00446D38"/>
    <w:pPr>
      <w:ind w:left="720"/>
      <w:contextualSpacing/>
    </w:pPr>
  </w:style>
  <w:style w:type="character" w:styleId="IntenseEmphasis">
    <w:name w:val="Intense Emphasis"/>
    <w:basedOn w:val="DefaultParagraphFont"/>
    <w:uiPriority w:val="21"/>
    <w:qFormat/>
    <w:rsid w:val="00446D38"/>
    <w:rPr>
      <w:i/>
      <w:iCs/>
      <w:color w:val="0F4761" w:themeColor="accent1" w:themeShade="BF"/>
    </w:rPr>
  </w:style>
  <w:style w:type="paragraph" w:styleId="IntenseQuote">
    <w:name w:val="Intense Quote"/>
    <w:basedOn w:val="Normal"/>
    <w:next w:val="Normal"/>
    <w:link w:val="IntenseQuoteChar"/>
    <w:uiPriority w:val="30"/>
    <w:qFormat/>
    <w:rsid w:val="00446D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46D38"/>
    <w:rPr>
      <w:i/>
      <w:iCs/>
      <w:color w:val="0F4761" w:themeColor="accent1" w:themeShade="BF"/>
    </w:rPr>
  </w:style>
  <w:style w:type="character" w:styleId="IntenseReference">
    <w:name w:val="Intense Reference"/>
    <w:basedOn w:val="DefaultParagraphFont"/>
    <w:uiPriority w:val="32"/>
    <w:qFormat/>
    <w:rsid w:val="00446D38"/>
    <w:rPr>
      <w:b/>
      <w:bCs/>
      <w:smallCaps/>
      <w:color w:val="0F4761" w:themeColor="accent1" w:themeShade="BF"/>
      <w:spacing w:val="5"/>
    </w:rPr>
  </w:style>
  <w:style w:type="paragraph" w:styleId="Header">
    <w:name w:val="header"/>
    <w:basedOn w:val="Normal"/>
    <w:link w:val="HeaderChar"/>
    <w:uiPriority w:val="99"/>
    <w:unhideWhenUsed/>
    <w:rsid w:val="0083640C"/>
    <w:pPr>
      <w:tabs>
        <w:tab w:val="center" w:pos="4513"/>
        <w:tab w:val="right" w:pos="9026"/>
      </w:tabs>
      <w:spacing w:after="0" w:line="240" w:lineRule="auto"/>
    </w:pPr>
  </w:style>
  <w:style w:type="character" w:customStyle="1" w:styleId="HeaderChar">
    <w:name w:val="Header Char"/>
    <w:basedOn w:val="DefaultParagraphFont"/>
    <w:link w:val="Header"/>
    <w:uiPriority w:val="99"/>
    <w:rsid w:val="008364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346</Words>
  <Characters>1973</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Igori Gordienko, PCB GEO</dc:creator>
  <cp:keywords/>
  <dc:description/>
  <cp:lastModifiedBy>Fatima Akubardia, PCB GEO</cp:lastModifiedBy>
  <cp:revision>2</cp:revision>
  <dcterms:created xsi:type="dcterms:W3CDTF">2026-08-19T15:01:00Z</dcterms:created>
  <dcterms:modified xsi:type="dcterms:W3CDTF">2026-08-19T15:01:00Z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2d953b8e,5fd36b3a,2ca9dc3e</vt:lpwstr>
  </property>
  <property fmtid="{D5CDD505-2E9C-101B-9397-08002B2CF9AE}" pid="3" name="ClassificationContentMarkingHeaderFontProps">
    <vt:lpwstr>#0078d7,10,Aptos</vt:lpwstr>
  </property>
  <property fmtid="{D5CDD505-2E9C-101B-9397-08002B2CF9AE}" pid="4" name="ClassificationContentMarkingHeaderText">
    <vt:lpwstr>Classification: Restricted to Partners</vt:lpwstr>
  </property>
  <property fmtid="{D5CDD505-2E9C-101B-9397-08002B2CF9AE}" pid="5" name="MSIP_Label_78cbde42-0dd4-4942-9b1c-e23a1c4e5874_Enabled">
    <vt:lpwstr>true</vt:lpwstr>
  </property>
  <property fmtid="{D5CDD505-2E9C-101B-9397-08002B2CF9AE}" pid="6" name="MSIP_Label_78cbde42-0dd4-4942-9b1c-e23a1c4e5874_SetDate">
    <vt:lpwstr>2026-08-11T07:04:54Z</vt:lpwstr>
  </property>
  <property fmtid="{D5CDD505-2E9C-101B-9397-08002B2CF9AE}" pid="7" name="MSIP_Label_78cbde42-0dd4-4942-9b1c-e23a1c4e5874_Method">
    <vt:lpwstr>Standard</vt:lpwstr>
  </property>
  <property fmtid="{D5CDD505-2E9C-101B-9397-08002B2CF9AE}" pid="8" name="MSIP_Label_78cbde42-0dd4-4942-9b1c-e23a1c4e5874_Name">
    <vt:lpwstr>Restricted to Partners</vt:lpwstr>
  </property>
  <property fmtid="{D5CDD505-2E9C-101B-9397-08002B2CF9AE}" pid="9" name="MSIP_Label_78cbde42-0dd4-4942-9b1c-e23a1c4e5874_SiteId">
    <vt:lpwstr>3471ad6d-e2eb-4e85-93ae-c344b4ac592c</vt:lpwstr>
  </property>
  <property fmtid="{D5CDD505-2E9C-101B-9397-08002B2CF9AE}" pid="10" name="MSIP_Label_78cbde42-0dd4-4942-9b1c-e23a1c4e5874_ActionId">
    <vt:lpwstr>8a66634c-f02a-400c-895a-e7d0433ea98a</vt:lpwstr>
  </property>
  <property fmtid="{D5CDD505-2E9C-101B-9397-08002B2CF9AE}" pid="11" name="MSIP_Label_78cbde42-0dd4-4942-9b1c-e23a1c4e5874_ContentBits">
    <vt:lpwstr>1</vt:lpwstr>
  </property>
  <property fmtid="{D5CDD505-2E9C-101B-9397-08002B2CF9AE}" pid="12" name="MSIP_Label_78cbde42-0dd4-4942-9b1c-e23a1c4e5874_Tag">
    <vt:lpwstr>10, 3, 0, 1</vt:lpwstr>
  </property>
</Properties>
</file>